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67" w:rsidRPr="00AD1FA5" w:rsidRDefault="00FB7731">
      <w:pPr>
        <w:snapToGrid w:val="0"/>
        <w:spacing w:line="240" w:lineRule="atLeast"/>
        <w:jc w:val="distribute"/>
        <w:rPr>
          <w:rFonts w:ascii="华文中宋" w:eastAsia="华文中宋" w:hAnsi="华文中宋"/>
          <w:b/>
          <w:color w:val="FF0000"/>
          <w:spacing w:val="-20"/>
          <w:w w:val="75"/>
          <w:sz w:val="106"/>
          <w:szCs w:val="106"/>
        </w:rPr>
      </w:pPr>
      <w:r w:rsidRPr="00AD1FA5">
        <w:rPr>
          <w:rFonts w:ascii="华文中宋" w:eastAsia="华文中宋" w:hAnsi="华文中宋" w:hint="eastAsia"/>
          <w:b/>
          <w:color w:val="FF0000"/>
          <w:spacing w:val="-20"/>
          <w:w w:val="75"/>
          <w:sz w:val="106"/>
          <w:szCs w:val="106"/>
        </w:rPr>
        <w:t>承德市林业和草原局</w:t>
      </w:r>
      <w:r w:rsidR="0032294F" w:rsidRPr="00AD1FA5">
        <w:rPr>
          <w:rFonts w:ascii="华文中宋" w:eastAsia="华文中宋" w:hAnsi="华文中宋" w:hint="eastAsia"/>
          <w:b/>
          <w:color w:val="FF0000"/>
          <w:spacing w:val="-20"/>
          <w:w w:val="75"/>
          <w:sz w:val="106"/>
          <w:szCs w:val="106"/>
        </w:rPr>
        <w:t>文件</w:t>
      </w:r>
    </w:p>
    <w:p w:rsidR="00091067" w:rsidRDefault="00091067">
      <w:pPr>
        <w:snapToGrid w:val="0"/>
        <w:spacing w:line="240" w:lineRule="atLeast"/>
        <w:jc w:val="distribute"/>
        <w:rPr>
          <w:rFonts w:ascii="华文中宋" w:eastAsia="华文中宋" w:hAnsi="华文中宋"/>
          <w:b/>
          <w:color w:val="FF0000"/>
          <w:w w:val="97"/>
          <w:sz w:val="84"/>
          <w:szCs w:val="84"/>
        </w:rPr>
      </w:pPr>
    </w:p>
    <w:p w:rsidR="00091067" w:rsidRDefault="00FB7731">
      <w:pPr>
        <w:snapToGrid w:val="0"/>
        <w:spacing w:line="240" w:lineRule="atLeast"/>
        <w:jc w:val="center"/>
        <w:rPr>
          <w:rFonts w:ascii="华文中宋" w:eastAsia="华文中宋" w:hAnsi="华文中宋"/>
          <w:b/>
          <w:color w:val="FF0000"/>
          <w:w w:val="97"/>
          <w:sz w:val="84"/>
          <w:szCs w:val="84"/>
        </w:rPr>
      </w:pPr>
      <w:r>
        <w:rPr>
          <w:rFonts w:ascii="仿宋" w:eastAsia="仿宋" w:hAnsi="仿宋" w:hint="eastAsia"/>
          <w:sz w:val="32"/>
          <w:szCs w:val="32"/>
        </w:rPr>
        <w:t>承林草字[2019]</w:t>
      </w:r>
      <w:r w:rsidR="007E7724">
        <w:rPr>
          <w:rFonts w:ascii="仿宋" w:eastAsia="仿宋" w:hAnsi="仿宋"/>
          <w:sz w:val="32"/>
          <w:szCs w:val="32"/>
        </w:rPr>
        <w:t xml:space="preserve"> </w:t>
      </w:r>
      <w:r w:rsidR="00626637"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91067" w:rsidRPr="00AD1FA5" w:rsidRDefault="00AD1FA5">
      <w:pPr>
        <w:rPr>
          <w:rFonts w:ascii="仿宋_GB2312" w:hAnsi="华文仿宋"/>
          <w:color w:val="FF0000"/>
          <w:szCs w:val="21"/>
        </w:rPr>
      </w:pPr>
      <w:r>
        <w:rPr>
          <w:rFonts w:ascii="仿宋_GB2312" w:hAnsi="华文仿宋"/>
          <w:noProof/>
          <w:color w:val="FF0000"/>
          <w:szCs w:val="21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8pt;margin-top:21.25pt;width:443.55pt;height:0;z-index:251658240;mso-position-vertical:absolute" o:connectortype="straight" strokecolor="red" strokeweight="2pt"/>
        </w:pict>
      </w:r>
      <w:r w:rsidR="00FB7731" w:rsidRPr="00AD1FA5">
        <w:rPr>
          <w:rFonts w:ascii="仿宋_GB2312" w:hAnsi="华文仿宋" w:hint="eastAsia"/>
          <w:color w:val="FF0000"/>
          <w:szCs w:val="21"/>
        </w:rPr>
        <w:t xml:space="preserve">                                                                                   </w:t>
      </w:r>
    </w:p>
    <w:p w:rsidR="00091067" w:rsidRDefault="00091067">
      <w:pPr>
        <w:rPr>
          <w:rFonts w:ascii="仿宋_GB2312" w:hAnsi="华文仿宋"/>
          <w:color w:val="FF0000"/>
          <w:szCs w:val="21"/>
          <w:u w:val="thick"/>
        </w:rPr>
      </w:pPr>
    </w:p>
    <w:p w:rsidR="00626637" w:rsidRDefault="00FB7731">
      <w:pPr>
        <w:adjustRightInd w:val="0"/>
        <w:snapToGrid w:val="0"/>
        <w:spacing w:line="560" w:lineRule="exact"/>
        <w:ind w:left="4404" w:hangingChars="1000" w:hanging="4404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承德市林业和草原局</w:t>
      </w:r>
    </w:p>
    <w:p w:rsidR="00626637" w:rsidRDefault="00FB7731">
      <w:pPr>
        <w:adjustRightInd w:val="0"/>
        <w:snapToGrid w:val="0"/>
        <w:spacing w:line="560" w:lineRule="exact"/>
        <w:ind w:left="4404" w:hangingChars="1000" w:hanging="4404"/>
        <w:jc w:val="center"/>
        <w:rPr>
          <w:rFonts w:ascii="华文中宋" w:eastAsia="华文中宋" w:hAnsi="华文中宋"/>
          <w:b/>
          <w:bCs/>
          <w:w w:val="98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</w:t>
      </w:r>
      <w:r>
        <w:rPr>
          <w:rFonts w:ascii="华文中宋" w:eastAsia="华文中宋" w:hAnsi="华文中宋" w:hint="eastAsia"/>
          <w:b/>
          <w:bCs/>
          <w:w w:val="98"/>
          <w:sz w:val="44"/>
          <w:szCs w:val="44"/>
        </w:rPr>
        <w:t>印发“2019</w:t>
      </w:r>
      <w:r w:rsidR="00626637">
        <w:rPr>
          <w:rFonts w:ascii="华文中宋" w:eastAsia="华文中宋" w:hAnsi="华文中宋" w:hint="eastAsia"/>
          <w:sz w:val="32"/>
          <w:szCs w:val="32"/>
        </w:rPr>
        <w:t>•</w:t>
      </w:r>
      <w:r>
        <w:rPr>
          <w:rFonts w:ascii="华文中宋" w:eastAsia="华文中宋" w:hAnsi="华文中宋" w:hint="eastAsia"/>
          <w:b/>
          <w:bCs/>
          <w:w w:val="98"/>
          <w:sz w:val="44"/>
          <w:szCs w:val="44"/>
        </w:rPr>
        <w:t>1</w:t>
      </w:r>
      <w:r w:rsidR="00626637">
        <w:rPr>
          <w:rFonts w:ascii="华文中宋" w:eastAsia="华文中宋" w:hAnsi="华文中宋" w:hint="eastAsia"/>
          <w:b/>
          <w:bCs/>
          <w:w w:val="98"/>
          <w:sz w:val="44"/>
          <w:szCs w:val="44"/>
        </w:rPr>
        <w:t>号金</w:t>
      </w:r>
      <w:r w:rsidR="00626637">
        <w:rPr>
          <w:rFonts w:ascii="华文中宋" w:eastAsia="华文中宋" w:hAnsi="华文中宋"/>
          <w:b/>
          <w:bCs/>
          <w:w w:val="98"/>
          <w:sz w:val="44"/>
          <w:szCs w:val="44"/>
        </w:rPr>
        <w:t>网</w:t>
      </w:r>
      <w:r w:rsidR="00626637">
        <w:rPr>
          <w:rFonts w:ascii="华文中宋" w:eastAsia="华文中宋" w:hAnsi="华文中宋" w:hint="eastAsia"/>
          <w:b/>
          <w:bCs/>
          <w:w w:val="98"/>
          <w:sz w:val="44"/>
          <w:szCs w:val="44"/>
        </w:rPr>
        <w:t>行动”实施方案的</w:t>
      </w:r>
    </w:p>
    <w:p w:rsidR="00091067" w:rsidRDefault="00FB7731">
      <w:pPr>
        <w:adjustRightInd w:val="0"/>
        <w:snapToGrid w:val="0"/>
        <w:spacing w:line="560" w:lineRule="exact"/>
        <w:ind w:left="4404" w:hangingChars="1000" w:hanging="4404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通</w:t>
      </w:r>
      <w:r w:rsidR="00626637">
        <w:rPr>
          <w:rFonts w:ascii="华文中宋" w:eastAsia="华文中宋" w:hAnsi="华文中宋" w:hint="eastAsia"/>
          <w:b/>
          <w:bCs/>
          <w:sz w:val="44"/>
          <w:szCs w:val="44"/>
        </w:rPr>
        <w:t xml:space="preserve">       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知</w:t>
      </w:r>
    </w:p>
    <w:p w:rsidR="00091067" w:rsidRDefault="00091067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091067" w:rsidRDefault="00FB7731" w:rsidP="007E7724">
      <w:pPr>
        <w:snapToGrid w:val="0"/>
        <w:spacing w:line="640" w:lineRule="exact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pacing w:val="-20"/>
          <w:sz w:val="32"/>
          <w:szCs w:val="32"/>
        </w:rPr>
        <w:t>各县（自治县）、市、区林业（农业、农林水务）局、局直属有关单位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26637" w:rsidRPr="00626637" w:rsidRDefault="00626637" w:rsidP="007E7724">
      <w:pPr>
        <w:spacing w:line="64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 w:rsidRPr="00626637">
        <w:rPr>
          <w:rFonts w:ascii="仿宋" w:eastAsia="仿宋" w:hAnsi="仿宋" w:hint="eastAsia"/>
          <w:sz w:val="32"/>
          <w:szCs w:val="32"/>
        </w:rPr>
        <w:t>当前,候鸟迁徙已经开始。为切实保护野生动物资源维护生态安全，根据当前形势需要</w:t>
      </w:r>
      <w:r>
        <w:rPr>
          <w:rFonts w:ascii="仿宋" w:eastAsia="仿宋" w:hAnsi="仿宋" w:hint="eastAsia"/>
          <w:sz w:val="32"/>
          <w:szCs w:val="32"/>
        </w:rPr>
        <w:t>和省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/>
          <w:sz w:val="32"/>
          <w:szCs w:val="32"/>
        </w:rPr>
        <w:t>部署</w:t>
      </w:r>
      <w:r w:rsidRPr="00626637">
        <w:rPr>
          <w:rFonts w:ascii="仿宋" w:eastAsia="仿宋" w:hAnsi="仿宋" w:hint="eastAsia"/>
          <w:sz w:val="32"/>
          <w:szCs w:val="32"/>
        </w:rPr>
        <w:t>，我局定于2019年3月11日至5月31日，在全</w:t>
      </w:r>
      <w:r>
        <w:rPr>
          <w:rFonts w:ascii="仿宋" w:eastAsia="仿宋" w:hAnsi="仿宋" w:hint="eastAsia"/>
          <w:sz w:val="32"/>
          <w:szCs w:val="32"/>
        </w:rPr>
        <w:t>市</w:t>
      </w:r>
      <w:r w:rsidRPr="00626637">
        <w:rPr>
          <w:rFonts w:ascii="仿宋" w:eastAsia="仿宋" w:hAnsi="仿宋" w:hint="eastAsia"/>
          <w:sz w:val="32"/>
          <w:szCs w:val="32"/>
        </w:rPr>
        <w:t>范围内组织开展集中打击破坏野生动物资源违法犯罪专项行动，代号“2019·1号金网行动”。现将“2019·1号金网行动”实施方案印发给你们，请认真抓好落实。</w:t>
      </w:r>
    </w:p>
    <w:p w:rsidR="00091067" w:rsidRDefault="00FB7731" w:rsidP="007E7724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特此通知。</w:t>
      </w:r>
    </w:p>
    <w:p w:rsidR="00091067" w:rsidRDefault="00FB7731" w:rsidP="007E7724">
      <w:pPr>
        <w:spacing w:line="560" w:lineRule="exact"/>
        <w:ind w:left="4480" w:hangingChars="1400" w:hanging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承德市林业和草原局</w:t>
      </w:r>
    </w:p>
    <w:p w:rsidR="00091067" w:rsidRDefault="00FB7731">
      <w:pPr>
        <w:tabs>
          <w:tab w:val="left" w:pos="6952"/>
          <w:tab w:val="left" w:pos="7110"/>
        </w:tabs>
        <w:spacing w:line="560" w:lineRule="exact"/>
        <w:ind w:right="640"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="0062663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626637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91067" w:rsidRDefault="00FB7731">
      <w:pPr>
        <w:pStyle w:val="a5"/>
        <w:spacing w:line="580" w:lineRule="exact"/>
        <w:jc w:val="center"/>
        <w:rPr>
          <w:rFonts w:ascii="华文中宋" w:eastAsia="华文中宋" w:hAnsi="华文中宋"/>
          <w:bCs/>
          <w:sz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Cs/>
          <w:sz w:val="44"/>
        </w:rPr>
        <w:lastRenderedPageBreak/>
        <w:t>“2019</w:t>
      </w:r>
      <w:r>
        <w:rPr>
          <w:rFonts w:ascii="华文中宋" w:eastAsia="华文中宋" w:hAnsi="华文中宋" w:hint="eastAsia"/>
          <w:sz w:val="32"/>
          <w:szCs w:val="32"/>
        </w:rPr>
        <w:t>·</w:t>
      </w:r>
      <w:r>
        <w:rPr>
          <w:rFonts w:ascii="华文中宋" w:eastAsia="华文中宋" w:hAnsi="华文中宋" w:hint="eastAsia"/>
          <w:bCs/>
          <w:sz w:val="44"/>
        </w:rPr>
        <w:t>1号金</w:t>
      </w:r>
      <w:r w:rsidR="00626637">
        <w:rPr>
          <w:rFonts w:ascii="华文中宋" w:eastAsia="华文中宋" w:hAnsi="华文中宋" w:hint="eastAsia"/>
          <w:bCs/>
          <w:sz w:val="44"/>
        </w:rPr>
        <w:t>网</w:t>
      </w:r>
      <w:r>
        <w:rPr>
          <w:rFonts w:ascii="华文中宋" w:eastAsia="华文中宋" w:hAnsi="华文中宋" w:hint="eastAsia"/>
          <w:bCs/>
          <w:sz w:val="44"/>
        </w:rPr>
        <w:t>行动”实施方案</w:t>
      </w:r>
    </w:p>
    <w:p w:rsidR="00091067" w:rsidRDefault="00091067">
      <w:pPr>
        <w:pStyle w:val="a5"/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为切实保护野生动物资源维护生态安全，</w:t>
      </w:r>
      <w:r>
        <w:rPr>
          <w:rFonts w:ascii="仿宋" w:eastAsia="仿宋" w:hAnsi="仿宋" w:hint="eastAsia"/>
          <w:sz w:val="32"/>
          <w:szCs w:val="32"/>
        </w:rPr>
        <w:t>市</w:t>
      </w:r>
      <w:r w:rsidRPr="00626637">
        <w:rPr>
          <w:rFonts w:ascii="仿宋" w:eastAsia="仿宋" w:hAnsi="仿宋" w:hint="eastAsia"/>
          <w:sz w:val="32"/>
          <w:szCs w:val="32"/>
        </w:rPr>
        <w:t>林业和草原局决定自3月11日至</w:t>
      </w:r>
      <w:smartTag w:uri="urn:schemas-microsoft-com:office:smarttags" w:element="chsdate">
        <w:smartTagPr>
          <w:attr w:name="Year" w:val="2016"/>
          <w:attr w:name="Month" w:val="5"/>
          <w:attr w:name="Day" w:val="31"/>
          <w:attr w:name="IsLunarDate" w:val="False"/>
          <w:attr w:name="IsROCDate" w:val="False"/>
        </w:smartTagPr>
        <w:r w:rsidRPr="00626637">
          <w:rPr>
            <w:rFonts w:ascii="仿宋" w:eastAsia="仿宋" w:hAnsi="仿宋" w:hint="eastAsia"/>
            <w:sz w:val="32"/>
            <w:szCs w:val="32"/>
          </w:rPr>
          <w:t>5月31日</w:t>
        </w:r>
      </w:smartTag>
      <w:r w:rsidRPr="00626637">
        <w:rPr>
          <w:rFonts w:ascii="仿宋" w:eastAsia="仿宋" w:hAnsi="仿宋" w:hint="eastAsia"/>
          <w:sz w:val="32"/>
          <w:szCs w:val="32"/>
        </w:rPr>
        <w:t>，在全</w:t>
      </w:r>
      <w:r>
        <w:rPr>
          <w:rFonts w:ascii="仿宋" w:eastAsia="仿宋" w:hAnsi="仿宋" w:hint="eastAsia"/>
          <w:sz w:val="32"/>
          <w:szCs w:val="32"/>
        </w:rPr>
        <w:t>市</w:t>
      </w:r>
      <w:r w:rsidRPr="00626637">
        <w:rPr>
          <w:rFonts w:ascii="仿宋" w:eastAsia="仿宋" w:hAnsi="仿宋" w:hint="eastAsia"/>
          <w:sz w:val="32"/>
          <w:szCs w:val="32"/>
        </w:rPr>
        <w:t>范围内组织开展严厉打击破坏野生动物资源违法犯罪专项行动，代号“2019·1号金网行动”。为确保此次行动取得扎实成效，特制定本方案。</w:t>
      </w:r>
    </w:p>
    <w:p w:rsidR="00626637" w:rsidRPr="00626637" w:rsidRDefault="00626637" w:rsidP="007E7724">
      <w:pPr>
        <w:spacing w:line="560" w:lineRule="exact"/>
        <w:ind w:firstLine="645"/>
        <w:rPr>
          <w:rFonts w:ascii="黑体" w:eastAsia="黑体" w:hAnsi="宋体"/>
          <w:sz w:val="32"/>
          <w:szCs w:val="32"/>
        </w:rPr>
      </w:pPr>
      <w:r w:rsidRPr="00626637">
        <w:rPr>
          <w:rFonts w:ascii="黑体" w:eastAsia="黑体" w:hAnsi="宋体" w:hint="eastAsia"/>
          <w:sz w:val="32"/>
          <w:szCs w:val="32"/>
        </w:rPr>
        <w:t>一、指导思想</w:t>
      </w:r>
    </w:p>
    <w:p w:rsidR="00626637" w:rsidRPr="00626637" w:rsidRDefault="00626637" w:rsidP="007E77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color w:val="000000"/>
          <w:sz w:val="32"/>
          <w:szCs w:val="32"/>
        </w:rPr>
        <w:t>坚持以习近平新时代中国特色社会主义思想为指导，认真贯彻党的十九大精神，</w:t>
      </w:r>
      <w:r w:rsidRPr="00626637">
        <w:rPr>
          <w:rFonts w:ascii="仿宋" w:eastAsia="仿宋" w:hAnsi="仿宋" w:hint="eastAsia"/>
          <w:sz w:val="32"/>
          <w:szCs w:val="32"/>
        </w:rPr>
        <w:t>全面落实党中央、国务院和省委省政府关于推进生态文明建设的安排部署，充分发挥林业和草原部门的职能作用和广大群众的积极性，依法行政,公正执法，加强对破坏野生动物资源违法犯罪的专项打击和综合治理，有效保护野生动物资源。</w:t>
      </w:r>
    </w:p>
    <w:p w:rsidR="00626637" w:rsidRPr="00626637" w:rsidRDefault="00626637" w:rsidP="007E7724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 w:rsidRPr="00626637">
        <w:rPr>
          <w:rFonts w:ascii="黑体" w:eastAsia="黑体" w:hint="eastAsia"/>
          <w:sz w:val="32"/>
          <w:szCs w:val="32"/>
        </w:rPr>
        <w:t>二、工作目标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坚持打击、治理、教育相结合，通过集中打击，坚决遏制破坏野生动物资源违法犯罪势头；通过清理整顿，依法规范野生动物繁育、经营和利用；通过宣传教育，努力营造全社会自觉保护野生动物资源的意识和氛围。</w:t>
      </w:r>
    </w:p>
    <w:p w:rsidR="00626637" w:rsidRPr="00626637" w:rsidRDefault="00626637" w:rsidP="007E7724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 w:rsidRPr="00626637">
        <w:rPr>
          <w:rFonts w:ascii="黑体" w:eastAsia="黑体" w:hint="eastAsia"/>
          <w:sz w:val="32"/>
          <w:szCs w:val="32"/>
        </w:rPr>
        <w:t>三、工作重点</w:t>
      </w:r>
    </w:p>
    <w:p w:rsidR="00626637" w:rsidRPr="00626637" w:rsidRDefault="00626637" w:rsidP="007E7724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626637">
        <w:rPr>
          <w:rFonts w:ascii="楷体" w:eastAsia="楷体" w:hAnsi="楷体" w:hint="eastAsia"/>
          <w:sz w:val="32"/>
          <w:szCs w:val="32"/>
        </w:rPr>
        <w:t>（一）重点打击对象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 w:rsidRPr="00626637">
        <w:rPr>
          <w:rFonts w:ascii="仿宋" w:eastAsia="仿宋" w:hAnsi="仿宋" w:cs="仿宋" w:hint="eastAsia"/>
          <w:bCs/>
          <w:sz w:val="32"/>
          <w:szCs w:val="32"/>
        </w:rPr>
        <w:t>1.非法猎捕、杀害、收购、运输、出售珍贵濒危野生动物及其制品的行为，尤其是通过微信、QQ等互联网平台非法买卖野生动物及其制品的行为。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  <w:r w:rsidRPr="00626637">
        <w:rPr>
          <w:rFonts w:ascii="仿宋" w:eastAsia="仿宋" w:hAnsi="仿宋" w:cs="仿宋" w:hint="eastAsia"/>
          <w:bCs/>
          <w:sz w:val="32"/>
          <w:szCs w:val="32"/>
        </w:rPr>
        <w:lastRenderedPageBreak/>
        <w:t>2.在禁猎期、禁猎区或使用禁用的工具、方法非法狩猎的行为，特别是在候鸟迁徙途经区域使用粘网、诱饵、诱捕装置非法猎捕候鸟行为。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cs="仿宋" w:hint="eastAsia"/>
          <w:sz w:val="32"/>
          <w:szCs w:val="32"/>
        </w:rPr>
        <w:t>3.非法</w:t>
      </w:r>
      <w:r w:rsidRPr="00626637">
        <w:rPr>
          <w:rFonts w:ascii="仿宋" w:eastAsia="仿宋" w:hAnsi="仿宋" w:hint="eastAsia"/>
          <w:sz w:val="32"/>
          <w:szCs w:val="32"/>
        </w:rPr>
        <w:t>加工、经营、利用国家或省重点保护及“三有”野生动物及其制品行为，重点是国家明令禁止后，仍在非法经营买卖象牙的行为及非法加工食用野生动物行为。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 xml:space="preserve">4.掩饰、隐瞒破坏野生动物资源违法犯罪所得的行为。 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5.其它破坏野生动物资源违法行为。</w:t>
      </w:r>
    </w:p>
    <w:p w:rsidR="00626637" w:rsidRPr="00626637" w:rsidRDefault="00626637" w:rsidP="007E7724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 w:rsidRPr="00626637">
        <w:rPr>
          <w:rFonts w:ascii="楷体" w:eastAsia="楷体" w:hAnsi="楷体" w:hint="eastAsia"/>
          <w:sz w:val="32"/>
          <w:szCs w:val="32"/>
        </w:rPr>
        <w:t>（二）重点整治场所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1.野生动物栖息繁衍地、迁徙停歇地等野生动物资源集中的部位。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2.集贸市场、宠物市场、皮毛市场、药材市场、古玩市场、珠宝商城等野生动物及其制品的交易场所。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3.加工、经营野生动物及其制品的宾馆、饭店等餐饮场所和野生动物制品生产厂家。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4.车站、机场、快递物流等野生动物及其制品的运输单位经营场所。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5.野生动物驯养繁殖场所。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626637">
        <w:rPr>
          <w:rFonts w:ascii="仿宋" w:eastAsia="仿宋" w:hAnsi="仿宋" w:hint="eastAsia"/>
          <w:sz w:val="32"/>
          <w:szCs w:val="32"/>
        </w:rPr>
        <w:t>要结合实际，确定本</w:t>
      </w:r>
      <w:r>
        <w:rPr>
          <w:rFonts w:ascii="仿宋" w:eastAsia="仿宋" w:hAnsi="仿宋" w:hint="eastAsia"/>
          <w:sz w:val="32"/>
          <w:szCs w:val="32"/>
        </w:rPr>
        <w:t>辖</w:t>
      </w:r>
      <w:r w:rsidRPr="00626637">
        <w:rPr>
          <w:rFonts w:ascii="仿宋" w:eastAsia="仿宋" w:hAnsi="仿宋" w:hint="eastAsia"/>
          <w:sz w:val="32"/>
          <w:szCs w:val="32"/>
        </w:rPr>
        <w:t>区打击的重点违法犯罪和整治的重点场所。</w:t>
      </w:r>
    </w:p>
    <w:p w:rsidR="00626637" w:rsidRPr="00626637" w:rsidRDefault="00626637" w:rsidP="007E7724">
      <w:pPr>
        <w:spacing w:line="560" w:lineRule="exact"/>
        <w:ind w:firstLine="645"/>
        <w:rPr>
          <w:rFonts w:ascii="黑体" w:eastAsia="黑体"/>
          <w:sz w:val="32"/>
          <w:szCs w:val="32"/>
        </w:rPr>
      </w:pPr>
      <w:r w:rsidRPr="00626637">
        <w:rPr>
          <w:rFonts w:ascii="黑体" w:eastAsia="黑体" w:hint="eastAsia"/>
          <w:sz w:val="32"/>
          <w:szCs w:val="32"/>
        </w:rPr>
        <w:t>四、组织领导</w:t>
      </w:r>
    </w:p>
    <w:p w:rsidR="00626637" w:rsidRP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26637">
        <w:rPr>
          <w:rFonts w:ascii="仿宋" w:eastAsia="仿宋" w:hAnsi="仿宋" w:hint="eastAsia"/>
          <w:sz w:val="32"/>
          <w:szCs w:val="32"/>
        </w:rPr>
        <w:t>为加强对本专项行动的组织领导，我局成立“2019·1号金网行动”领导小组，负责本次专项行动的组织、指挥、协调和</w:t>
      </w:r>
      <w:r w:rsidRPr="00626637">
        <w:rPr>
          <w:rFonts w:ascii="仿宋" w:eastAsia="仿宋" w:hAnsi="仿宋" w:hint="eastAsia"/>
          <w:sz w:val="32"/>
          <w:szCs w:val="32"/>
        </w:rPr>
        <w:lastRenderedPageBreak/>
        <w:t>督导。</w:t>
      </w:r>
    </w:p>
    <w:p w:rsidR="00091067" w:rsidRDefault="00FB7731" w:rsidP="007E7724">
      <w:pPr>
        <w:spacing w:line="560" w:lineRule="exact"/>
        <w:ind w:leftChars="304" w:left="3038" w:hangingChars="750" w:hanging="24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长：王  江  市</w:t>
      </w:r>
      <w:r>
        <w:rPr>
          <w:rFonts w:ascii="仿宋_GB2312" w:eastAsia="仿宋_GB2312" w:hAnsi="仿宋" w:cs="仿宋" w:hint="eastAsia"/>
          <w:sz w:val="32"/>
          <w:szCs w:val="32"/>
        </w:rPr>
        <w:t>林业和草原局党组书记、局长</w:t>
      </w:r>
    </w:p>
    <w:p w:rsidR="00091067" w:rsidRDefault="00FB7731" w:rsidP="007E7724">
      <w:pPr>
        <w:pStyle w:val="a5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副组长：杨吉宽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市森林公安局政委</w:t>
      </w:r>
    </w:p>
    <w:p w:rsidR="00091067" w:rsidRDefault="00FB7731" w:rsidP="007E7724">
      <w:pPr>
        <w:pStyle w:val="a5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成  员：刘  英  市林业和草原局政策法规与森林资源</w:t>
      </w:r>
    </w:p>
    <w:p w:rsidR="00091067" w:rsidRDefault="00FB7731" w:rsidP="007E7724">
      <w:pPr>
        <w:pStyle w:val="a5"/>
        <w:spacing w:line="560" w:lineRule="exact"/>
        <w:ind w:leftChars="1520" w:left="3512" w:hangingChars="100" w:hanging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管理科科长</w:t>
      </w:r>
    </w:p>
    <w:p w:rsidR="00091067" w:rsidRDefault="00FB7731" w:rsidP="007E7724">
      <w:pPr>
        <w:pStyle w:val="a5"/>
        <w:spacing w:line="560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杨印聪  市林业和草原局科宣科科长</w:t>
      </w:r>
    </w:p>
    <w:p w:rsidR="00091067" w:rsidRDefault="00FB7731" w:rsidP="007E7724">
      <w:pPr>
        <w:pStyle w:val="ab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王东宁  市森林公安局副局长</w:t>
      </w:r>
    </w:p>
    <w:p w:rsidR="00091067" w:rsidRDefault="00FB7731" w:rsidP="007E7724">
      <w:pPr>
        <w:pStyle w:val="ab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领导小组下设办公室，</w:t>
      </w:r>
      <w:r w:rsidR="00626637">
        <w:rPr>
          <w:rFonts w:ascii="仿宋" w:eastAsia="仿宋" w:hAnsi="仿宋" w:cs="Times New Roman" w:hint="eastAsia"/>
          <w:sz w:val="32"/>
          <w:szCs w:val="32"/>
        </w:rPr>
        <w:t>承担</w:t>
      </w:r>
      <w:r>
        <w:rPr>
          <w:rFonts w:ascii="仿宋" w:eastAsia="仿宋" w:hAnsi="仿宋" w:cs="Times New Roman" w:hint="eastAsia"/>
          <w:sz w:val="32"/>
          <w:szCs w:val="32"/>
        </w:rPr>
        <w:t>相关具体工作，办公室设在市森林公安局，王东宁同志兼任办公室主任。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26637" w:rsidRPr="00D3605D" w:rsidRDefault="00626637" w:rsidP="007E7724">
      <w:pPr>
        <w:spacing w:line="560" w:lineRule="exact"/>
        <w:ind w:firstLine="645"/>
        <w:rPr>
          <w:rFonts w:ascii="黑体" w:eastAsia="黑体" w:hAnsi="宋体"/>
          <w:sz w:val="32"/>
          <w:szCs w:val="32"/>
        </w:rPr>
      </w:pPr>
      <w:r w:rsidRPr="00D3605D">
        <w:rPr>
          <w:rFonts w:ascii="黑体" w:eastAsia="黑体" w:hAnsi="宋体" w:hint="eastAsia"/>
          <w:sz w:val="32"/>
          <w:szCs w:val="32"/>
        </w:rPr>
        <w:t>五、措施和要求</w:t>
      </w:r>
    </w:p>
    <w:p w:rsidR="00626637" w:rsidRDefault="00626637" w:rsidP="007E7724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Arial" w:hint="eastAsia"/>
          <w:sz w:val="32"/>
          <w:szCs w:val="32"/>
          <w:shd w:val="clear" w:color="auto" w:fill="FFFFFF"/>
        </w:rPr>
        <w:t>（一）切实提高认识。</w:t>
      </w:r>
      <w:r>
        <w:rPr>
          <w:rFonts w:ascii="仿宋" w:eastAsia="仿宋" w:hAnsi="仿宋" w:hint="eastAsia"/>
          <w:sz w:val="32"/>
          <w:szCs w:val="32"/>
        </w:rPr>
        <w:t>野生动物资源是重要而宝贵的自然资源，依法保护野生动物资源是生态文明建设的重要内容之一。非法猎捕、贩卖、经营加工、食用候鸟及其它野生动物的行为，严重威胁着野生动物资源安全，破坏了自然生态平衡。依法打击破坏候鸟及其它野生动物资源的行为，切实加强保护管理，是各级林业和草原部门的应尽职责。各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要高度重视此次行动，成立林业和草原部门领导任组长的专项行动领导小组，制定专门方案，组织林业和草原行政综合执法、森林公安、野生动物保护、自然保护区管理等有关部门，周密安排，迅速行动，全力开展好专项打击行动。</w:t>
      </w:r>
    </w:p>
    <w:p w:rsidR="00626637" w:rsidRDefault="00626637" w:rsidP="007E77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（二）</w:t>
      </w:r>
      <w:r>
        <w:rPr>
          <w:rFonts w:ascii="楷体" w:eastAsia="楷体" w:hAnsi="楷体" w:cs="Arial" w:hint="eastAsia"/>
          <w:color w:val="000000"/>
          <w:sz w:val="32"/>
          <w:szCs w:val="32"/>
          <w:shd w:val="clear" w:color="auto" w:fill="FFFFFF"/>
        </w:rPr>
        <w:t>严格巡查管理。</w:t>
      </w:r>
      <w:r>
        <w:rPr>
          <w:rFonts w:ascii="仿宋" w:eastAsia="仿宋" w:hAnsi="仿宋" w:hint="eastAsia"/>
          <w:sz w:val="32"/>
          <w:szCs w:val="32"/>
        </w:rPr>
        <w:t>各单位要结合本地实际，积极组织力量对本区域野生动物保护管理情况开展一次全面检查，找出漏洞和薄弱环节，健全规章制度，明确责任主体，确保各项管</w:t>
      </w:r>
      <w:r>
        <w:rPr>
          <w:rFonts w:ascii="仿宋" w:eastAsia="仿宋" w:hAnsi="仿宋" w:hint="eastAsia"/>
          <w:sz w:val="32"/>
          <w:szCs w:val="32"/>
        </w:rPr>
        <w:lastRenderedPageBreak/>
        <w:t>理措施得到落实。要针对自然保护区、国有林场等陆生野生动物重点分布区、乱捕滥猎高发区和贩卖陆生野生动物及产品严重区域，增设保护站点，落实管护责任，加强巡查管护。对非法猎捕候鸟现象较为严重的</w:t>
      </w:r>
      <w:r w:rsidR="007E7724">
        <w:rPr>
          <w:rFonts w:ascii="仿宋" w:eastAsia="仿宋" w:hAnsi="仿宋" w:hint="eastAsia"/>
          <w:sz w:val="32"/>
          <w:szCs w:val="32"/>
        </w:rPr>
        <w:t>区域和</w:t>
      </w:r>
      <w:r>
        <w:rPr>
          <w:rFonts w:ascii="仿宋" w:eastAsia="仿宋" w:hAnsi="仿宋" w:hint="eastAsia"/>
          <w:sz w:val="32"/>
          <w:szCs w:val="32"/>
        </w:rPr>
        <w:t>重要湿地等候鸟繁衍栖息地，要组织力量开展集中突击检查，强化巡护，全面清除清剿盗猎分子布设在重点地区的猎具、捕网和毒药，及时发现、查处各类违法犯罪行为。</w:t>
      </w:r>
    </w:p>
    <w:p w:rsidR="00626637" w:rsidRDefault="00626637" w:rsidP="007E7724">
      <w:pPr>
        <w:spacing w:line="560" w:lineRule="exact"/>
        <w:ind w:firstLine="58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(三) 依法严厉打击。</w:t>
      </w:r>
      <w:r>
        <w:rPr>
          <w:rFonts w:ascii="仿宋" w:eastAsia="仿宋" w:hAnsi="仿宋" w:hint="eastAsia"/>
          <w:sz w:val="32"/>
          <w:szCs w:val="32"/>
        </w:rPr>
        <w:t>在行动中，</w:t>
      </w:r>
      <w:r w:rsidR="007E7724">
        <w:rPr>
          <w:rFonts w:ascii="仿宋" w:eastAsia="仿宋" w:hAnsi="仿宋" w:hint="eastAsia"/>
          <w:sz w:val="32"/>
          <w:szCs w:val="32"/>
        </w:rPr>
        <w:t>各单位</w:t>
      </w:r>
      <w:r>
        <w:rPr>
          <w:rFonts w:ascii="仿宋" w:eastAsia="仿宋" w:hAnsi="仿宋" w:hint="eastAsia"/>
          <w:sz w:val="32"/>
          <w:szCs w:val="32"/>
        </w:rPr>
        <w:t>要积极向当地政府汇报，并加强与宣传、工商、公安、市场监管、卫生防疫、铁路、交通等部门的沟通，建立部门间联络协调机制，定期互通情况、分析形势、研究工作、解决问题，形成执法监管合力，共同把野生动物保护工作推向深入。森林公安机关及林业和草原综合执法队伍要发挥执法主力军作用，密切与地方公安治安、技侦、网监、交警等部门的协作配合，对破坏野生动物资源案件线索抓住不放，深挖严打，精确打击，必要时可以通过提级督办、异地交办等方式，加大案件侦破力度，确保办案工作顺利进行。在侦办案件过程中，执法人员要做到秉公执法，严格按照法律规定和程序办案，对重特大案件特别是办案阻力大、查处难度大的疑难复杂案件，要排除干扰，坚决依法查处，严禁以罚代刑，降格处理。</w:t>
      </w:r>
    </w:p>
    <w:p w:rsidR="00626637" w:rsidRDefault="00626637" w:rsidP="007E772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（四）加大宣传力度。</w:t>
      </w:r>
      <w:r>
        <w:rPr>
          <w:rFonts w:ascii="仿宋" w:eastAsia="仿宋" w:hAnsi="仿宋" w:hint="eastAsia"/>
          <w:sz w:val="32"/>
          <w:szCs w:val="32"/>
        </w:rPr>
        <w:t>要不断加强对林区及草原地区群众的宣传教育，充分利用广播、电视、标语条幅、网络等大众媒体，广泛深入地宣传有关野生动物保护的法律法规。要做好林</w:t>
      </w:r>
      <w:r>
        <w:rPr>
          <w:rFonts w:ascii="仿宋" w:eastAsia="仿宋" w:hAnsi="仿宋" w:hint="eastAsia"/>
          <w:sz w:val="32"/>
          <w:szCs w:val="32"/>
        </w:rPr>
        <w:lastRenderedPageBreak/>
        <w:t>区及草原地区群众的教育引导工作，提高群众的野生动物保护意识，拓宽社会舆论监督渠道。要公布举报电话，鼓励群众检举揭发盗猎、走私和非法经营利用野生动物及制品行为。要保持高度敏感性，加强与新闻媒体的沟通协调，做好舆情引导和处置工作，及时主动地向社会发布野生动物执法打击工作情况，占领主阵地，打好主动仗。对媒体、网络关注的违法行为，要积极回应，及时调查处理，为野生动物执法打击工作积极营造良好的舆论氛围。</w:t>
      </w:r>
    </w:p>
    <w:p w:rsidR="00626637" w:rsidRDefault="00626637" w:rsidP="007E7724">
      <w:pPr>
        <w:spacing w:line="560" w:lineRule="exact"/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（五）加强监督指导。</w:t>
      </w:r>
      <w:r>
        <w:rPr>
          <w:rFonts w:ascii="仿宋_GB2312" w:eastAsia="仿宋_GB2312" w:hAnsi="楷体" w:hint="eastAsia"/>
          <w:sz w:val="32"/>
          <w:szCs w:val="32"/>
        </w:rPr>
        <w:t>为推动</w:t>
      </w:r>
      <w:r w:rsidR="007E7724">
        <w:rPr>
          <w:rFonts w:ascii="仿宋_GB2312" w:eastAsia="仿宋_GB2312" w:hAnsi="楷体" w:hint="eastAsia"/>
          <w:sz w:val="32"/>
          <w:szCs w:val="32"/>
        </w:rPr>
        <w:t>此次</w:t>
      </w:r>
      <w:r>
        <w:rPr>
          <w:rFonts w:ascii="仿宋_GB2312" w:eastAsia="仿宋_GB2312" w:hAnsi="楷体" w:hint="eastAsia"/>
          <w:sz w:val="32"/>
          <w:szCs w:val="32"/>
        </w:rPr>
        <w:t>专项行动的有序开展，</w:t>
      </w:r>
      <w:r w:rsidR="007E7724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林业和草原局将加强对专项行动开展的监督检查。对部署不到位、责任不落实、工作落后的单位，实行挂牌督导，全面督促；对媒体曝光、上级转查、群众举报的涉嫌犯罪问题由于不作为、打击不力造成不良影响的，对犯罪行为在本地区长期大量存在、未进行有效查处造成不良影响的，要严格责任倒查，追究有关人员责任。</w:t>
      </w:r>
    </w:p>
    <w:p w:rsidR="00626637" w:rsidRDefault="00626637" w:rsidP="007E772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各地要及时掌握行动进展情况，战果表（附后）每周</w:t>
      </w:r>
      <w:r w:rsidR="007E7724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下午16</w:t>
      </w:r>
      <w:r w:rsidR="007E7724"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前累计</w:t>
      </w:r>
      <w:r w:rsidR="007E7724">
        <w:rPr>
          <w:rFonts w:ascii="仿宋" w:eastAsia="仿宋" w:hAnsi="仿宋" w:hint="eastAsia"/>
          <w:sz w:val="32"/>
          <w:szCs w:val="32"/>
        </w:rPr>
        <w:t>邮件</w:t>
      </w:r>
      <w:r>
        <w:rPr>
          <w:rFonts w:ascii="仿宋" w:eastAsia="仿宋" w:hAnsi="仿宋" w:hint="eastAsia"/>
          <w:sz w:val="32"/>
          <w:szCs w:val="32"/>
        </w:rPr>
        <w:t>上报，遇有重大情况随时上报，</w:t>
      </w:r>
      <w:r w:rsidR="007E7724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E7724">
        <w:rPr>
          <w:rFonts w:ascii="仿宋" w:eastAsia="仿宋" w:hAnsi="仿宋" w:hint="eastAsia"/>
          <w:sz w:val="32"/>
          <w:szCs w:val="32"/>
        </w:rPr>
        <w:t>31日</w:t>
      </w:r>
      <w:r>
        <w:rPr>
          <w:rFonts w:ascii="仿宋" w:eastAsia="仿宋" w:hAnsi="仿宋" w:hint="eastAsia"/>
          <w:sz w:val="32"/>
          <w:szCs w:val="32"/>
        </w:rPr>
        <w:t>前报行动总结。</w:t>
      </w:r>
    </w:p>
    <w:p w:rsidR="00626637" w:rsidRPr="00653B58" w:rsidRDefault="00626637" w:rsidP="007E7724">
      <w:pPr>
        <w:spacing w:line="56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7E7724">
        <w:rPr>
          <w:rFonts w:ascii="仿宋" w:eastAsia="仿宋" w:hAnsi="仿宋" w:hint="eastAsia"/>
          <w:sz w:val="32"/>
          <w:szCs w:val="32"/>
        </w:rPr>
        <w:t>赵立</w:t>
      </w:r>
      <w:r w:rsidR="007E7724">
        <w:rPr>
          <w:rFonts w:ascii="仿宋" w:eastAsia="仿宋" w:hAnsi="仿宋"/>
          <w:sz w:val="32"/>
          <w:szCs w:val="32"/>
        </w:rPr>
        <w:t>军</w:t>
      </w:r>
      <w:r>
        <w:rPr>
          <w:rFonts w:ascii="仿宋" w:eastAsia="仿宋" w:hAnsi="仿宋" w:hint="eastAsia"/>
          <w:sz w:val="32"/>
          <w:szCs w:val="32"/>
        </w:rPr>
        <w:t>，联系电话：</w:t>
      </w:r>
      <w:r w:rsidR="007E7724">
        <w:rPr>
          <w:rFonts w:ascii="仿宋" w:eastAsia="仿宋" w:hAnsi="仿宋"/>
          <w:sz w:val="32"/>
          <w:szCs w:val="32"/>
        </w:rPr>
        <w:t>2035432</w:t>
      </w:r>
      <w:r w:rsidR="007E7724">
        <w:rPr>
          <w:rFonts w:ascii="仿宋" w:eastAsia="仿宋" w:hAnsi="仿宋" w:hint="eastAsia"/>
          <w:sz w:val="32"/>
          <w:szCs w:val="32"/>
        </w:rPr>
        <w:t>、内</w:t>
      </w:r>
      <w:r w:rsidR="007E7724">
        <w:rPr>
          <w:rFonts w:ascii="仿宋" w:eastAsia="仿宋" w:hAnsi="仿宋"/>
          <w:sz w:val="32"/>
          <w:szCs w:val="32"/>
        </w:rPr>
        <w:t>线：</w:t>
      </w:r>
      <w:r w:rsidR="007E7724">
        <w:rPr>
          <w:rFonts w:ascii="仿宋" w:eastAsia="仿宋" w:hAnsi="仿宋" w:hint="eastAsia"/>
          <w:sz w:val="32"/>
          <w:szCs w:val="32"/>
        </w:rPr>
        <w:t>8813</w:t>
      </w:r>
      <w:r>
        <w:rPr>
          <w:rFonts w:ascii="仿宋" w:eastAsia="仿宋" w:hAnsi="仿宋" w:hint="eastAsia"/>
          <w:sz w:val="32"/>
          <w:szCs w:val="32"/>
        </w:rPr>
        <w:t>,</w:t>
      </w:r>
      <w:r w:rsidR="007E7724">
        <w:rPr>
          <w:rFonts w:ascii="仿宋" w:eastAsia="仿宋" w:hAnsi="仿宋" w:cs="仿宋" w:hint="eastAsia"/>
          <w:sz w:val="32"/>
          <w:szCs w:val="32"/>
        </w:rPr>
        <w:t>邮箱：cdzazfdd@126.com。</w:t>
      </w:r>
    </w:p>
    <w:p w:rsidR="00626637" w:rsidRPr="00FB6570" w:rsidRDefault="00626637" w:rsidP="007E7724">
      <w:pPr>
        <w:spacing w:line="560" w:lineRule="exact"/>
        <w:ind w:firstLineChars="200" w:firstLine="640"/>
        <w:rPr>
          <w:rFonts w:ascii="华文中宋" w:eastAsia="华文中宋" w:hAnsi="华文中宋"/>
          <w:b/>
          <w:sz w:val="44"/>
          <w:szCs w:val="44"/>
        </w:rPr>
        <w:sectPr w:rsidR="00626637" w:rsidRPr="00FB6570" w:rsidSect="0086653D">
          <w:headerReference w:type="default" r:id="rId7"/>
          <w:footerReference w:type="even" r:id="rId8"/>
          <w:footerReference w:type="default" r:id="rId9"/>
          <w:pgSz w:w="11906" w:h="16838"/>
          <w:pgMar w:top="1985" w:right="1588" w:bottom="1588" w:left="1588" w:header="851" w:footer="1247" w:gutter="0"/>
          <w:pgNumType w:fmt="numberInDash" w:start="1"/>
          <w:cols w:space="720"/>
          <w:titlePg/>
          <w:docGrid w:type="lines" w:linePitch="435"/>
        </w:sectPr>
      </w:pPr>
      <w:r w:rsidRPr="0031507E">
        <w:rPr>
          <w:rFonts w:ascii="仿宋" w:eastAsia="仿宋" w:hAnsi="仿宋" w:hint="eastAsia"/>
          <w:sz w:val="32"/>
          <w:szCs w:val="32"/>
        </w:rPr>
        <w:t>附件：“201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31507E">
        <w:rPr>
          <w:rFonts w:ascii="仿宋" w:eastAsia="仿宋" w:hAnsi="仿宋" w:hint="eastAsia"/>
          <w:sz w:val="32"/>
          <w:szCs w:val="32"/>
        </w:rPr>
        <w:t>·1号金网行动”战果表</w:t>
      </w:r>
    </w:p>
    <w:p w:rsidR="00626637" w:rsidRPr="00FB6570" w:rsidRDefault="00626637" w:rsidP="00626637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附件</w:t>
      </w:r>
    </w:p>
    <w:p w:rsidR="00626637" w:rsidRDefault="00626637" w:rsidP="00626637">
      <w:pPr>
        <w:ind w:firstLineChars="200" w:firstLine="881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“2019·1号金网行动”战果表</w:t>
      </w:r>
    </w:p>
    <w:p w:rsidR="00626637" w:rsidRDefault="00626637" w:rsidP="00626637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填报单位：                         统计时间：       月    日</w:t>
      </w:r>
    </w:p>
    <w:tbl>
      <w:tblPr>
        <w:tblpPr w:leftFromText="180" w:rightFromText="180" w:vertAnchor="text" w:horzAnchor="margin" w:tblpY="122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799"/>
        <w:gridCol w:w="153"/>
        <w:gridCol w:w="401"/>
        <w:gridCol w:w="370"/>
        <w:gridCol w:w="661"/>
        <w:gridCol w:w="244"/>
        <w:gridCol w:w="618"/>
        <w:gridCol w:w="416"/>
        <w:gridCol w:w="22"/>
        <w:gridCol w:w="764"/>
        <w:gridCol w:w="444"/>
        <w:gridCol w:w="260"/>
        <w:gridCol w:w="9"/>
        <w:gridCol w:w="334"/>
        <w:gridCol w:w="754"/>
        <w:gridCol w:w="387"/>
        <w:gridCol w:w="121"/>
        <w:gridCol w:w="30"/>
        <w:gridCol w:w="373"/>
        <w:gridCol w:w="1658"/>
      </w:tblGrid>
      <w:tr w:rsidR="00626637" w:rsidTr="002D458F">
        <w:trPr>
          <w:trHeight w:val="465"/>
        </w:trPr>
        <w:tc>
          <w:tcPr>
            <w:tcW w:w="2886" w:type="dxa"/>
            <w:gridSpan w:val="6"/>
            <w:vAlign w:val="center"/>
          </w:tcPr>
          <w:p w:rsidR="00626637" w:rsidRDefault="00626637" w:rsidP="002D458F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出动人员车辆情况</w:t>
            </w:r>
          </w:p>
        </w:tc>
        <w:tc>
          <w:tcPr>
            <w:tcW w:w="6434" w:type="dxa"/>
            <w:gridSpan w:val="15"/>
            <w:vAlign w:val="center"/>
          </w:tcPr>
          <w:p w:rsidR="00626637" w:rsidRDefault="00626637" w:rsidP="002D458F">
            <w:pPr>
              <w:spacing w:line="360" w:lineRule="exact"/>
              <w:ind w:left="420" w:hangingChars="150" w:hanging="42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清理检查情况</w:t>
            </w:r>
          </w:p>
        </w:tc>
      </w:tr>
      <w:tr w:rsidR="00626637" w:rsidTr="002D458F">
        <w:trPr>
          <w:trHeight w:val="628"/>
        </w:trPr>
        <w:tc>
          <w:tcPr>
            <w:tcW w:w="1455" w:type="dxa"/>
            <w:gridSpan w:val="3"/>
          </w:tcPr>
          <w:p w:rsidR="00626637" w:rsidRPr="00D3605D" w:rsidRDefault="00626637" w:rsidP="002D458F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出动人员</w:t>
            </w:r>
          </w:p>
          <w:p w:rsidR="00626637" w:rsidRPr="00D3605D" w:rsidRDefault="00626637" w:rsidP="002D458F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（人次）</w:t>
            </w:r>
          </w:p>
        </w:tc>
        <w:tc>
          <w:tcPr>
            <w:tcW w:w="1432" w:type="dxa"/>
            <w:gridSpan w:val="3"/>
          </w:tcPr>
          <w:p w:rsidR="00626637" w:rsidRPr="00D3605D" w:rsidRDefault="00626637" w:rsidP="002D458F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出动车辆</w:t>
            </w:r>
          </w:p>
          <w:p w:rsidR="00626637" w:rsidRPr="00D3605D" w:rsidRDefault="00626637" w:rsidP="002D458F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（车次）</w:t>
            </w:r>
          </w:p>
        </w:tc>
        <w:tc>
          <w:tcPr>
            <w:tcW w:w="2064" w:type="dxa"/>
            <w:gridSpan w:val="5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清理野生动物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驯养繁殖场所                 （处）</w:t>
            </w:r>
          </w:p>
        </w:tc>
        <w:tc>
          <w:tcPr>
            <w:tcW w:w="2188" w:type="dxa"/>
            <w:gridSpan w:val="6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清理野生动物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加工经营场所           （处）</w:t>
            </w:r>
          </w:p>
        </w:tc>
        <w:tc>
          <w:tcPr>
            <w:tcW w:w="2182" w:type="dxa"/>
            <w:gridSpan w:val="4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检查野生动</w:t>
            </w:r>
          </w:p>
          <w:p w:rsidR="00626637" w:rsidRPr="00D3605D" w:rsidRDefault="00626637" w:rsidP="002D458F">
            <w:pPr>
              <w:spacing w:line="360" w:lineRule="exact"/>
              <w:ind w:left="360" w:hangingChars="150" w:hanging="360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物活动区域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（处）</w:t>
            </w:r>
          </w:p>
        </w:tc>
      </w:tr>
      <w:tr w:rsidR="00626637" w:rsidTr="002D458F">
        <w:trPr>
          <w:trHeight w:val="705"/>
        </w:trPr>
        <w:tc>
          <w:tcPr>
            <w:tcW w:w="1455" w:type="dxa"/>
            <w:gridSpan w:val="3"/>
          </w:tcPr>
          <w:p w:rsidR="00626637" w:rsidRDefault="00626637" w:rsidP="002D458F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1432" w:type="dxa"/>
            <w:gridSpan w:val="3"/>
          </w:tcPr>
          <w:p w:rsidR="00626637" w:rsidRDefault="00626637" w:rsidP="002D458F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2064" w:type="dxa"/>
            <w:gridSpan w:val="5"/>
          </w:tcPr>
          <w:p w:rsidR="00626637" w:rsidRDefault="00626637" w:rsidP="002D458F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2188" w:type="dxa"/>
            <w:gridSpan w:val="6"/>
          </w:tcPr>
          <w:p w:rsidR="00626637" w:rsidRDefault="00626637" w:rsidP="002D458F">
            <w:pPr>
              <w:rPr>
                <w:rFonts w:ascii="仿宋_GB2312" w:hAnsi="华文中宋"/>
                <w:sz w:val="24"/>
              </w:rPr>
            </w:pPr>
          </w:p>
        </w:tc>
        <w:tc>
          <w:tcPr>
            <w:tcW w:w="2182" w:type="dxa"/>
            <w:gridSpan w:val="4"/>
          </w:tcPr>
          <w:p w:rsidR="00626637" w:rsidRDefault="00626637" w:rsidP="002D458F">
            <w:pPr>
              <w:rPr>
                <w:rFonts w:ascii="仿宋_GB2312" w:hAnsi="华文中宋"/>
                <w:sz w:val="24"/>
              </w:rPr>
            </w:pPr>
          </w:p>
        </w:tc>
      </w:tr>
      <w:tr w:rsidR="00626637" w:rsidTr="002D458F">
        <w:trPr>
          <w:trHeight w:val="409"/>
        </w:trPr>
        <w:tc>
          <w:tcPr>
            <w:tcW w:w="9320" w:type="dxa"/>
            <w:gridSpan w:val="21"/>
            <w:vAlign w:val="center"/>
          </w:tcPr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刑事案件办理情况</w:t>
            </w:r>
          </w:p>
        </w:tc>
      </w:tr>
      <w:tr w:rsidR="00626637" w:rsidTr="002D458F">
        <w:trPr>
          <w:trHeight w:val="432"/>
        </w:trPr>
        <w:tc>
          <w:tcPr>
            <w:tcW w:w="1455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立案（起）</w:t>
            </w:r>
          </w:p>
        </w:tc>
        <w:tc>
          <w:tcPr>
            <w:tcW w:w="1432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破案（起）</w:t>
            </w:r>
          </w:p>
        </w:tc>
        <w:tc>
          <w:tcPr>
            <w:tcW w:w="1278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破重大案件（起）</w:t>
            </w:r>
          </w:p>
        </w:tc>
        <w:tc>
          <w:tcPr>
            <w:tcW w:w="1499" w:type="dxa"/>
            <w:gridSpan w:val="5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抓获犯罪嫌疑人（人）</w:t>
            </w:r>
          </w:p>
        </w:tc>
        <w:tc>
          <w:tcPr>
            <w:tcW w:w="1596" w:type="dxa"/>
            <w:gridSpan w:val="4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逮捕（人）</w:t>
            </w:r>
          </w:p>
        </w:tc>
        <w:tc>
          <w:tcPr>
            <w:tcW w:w="2061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起诉（起）</w:t>
            </w:r>
          </w:p>
        </w:tc>
      </w:tr>
      <w:tr w:rsidR="00626637" w:rsidTr="002D458F">
        <w:trPr>
          <w:trHeight w:val="733"/>
        </w:trPr>
        <w:tc>
          <w:tcPr>
            <w:tcW w:w="1455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6637" w:rsidTr="002D458F">
        <w:trPr>
          <w:trHeight w:val="488"/>
        </w:trPr>
        <w:tc>
          <w:tcPr>
            <w:tcW w:w="5655" w:type="dxa"/>
            <w:gridSpan w:val="13"/>
            <w:vAlign w:val="center"/>
          </w:tcPr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查处行政案件情况</w:t>
            </w:r>
          </w:p>
        </w:tc>
        <w:tc>
          <w:tcPr>
            <w:tcW w:w="3665" w:type="dxa"/>
            <w:gridSpan w:val="8"/>
            <w:vAlign w:val="center"/>
          </w:tcPr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发动群众情况</w:t>
            </w:r>
          </w:p>
        </w:tc>
      </w:tr>
      <w:tr w:rsidR="00626637" w:rsidTr="002D458F">
        <w:trPr>
          <w:trHeight w:val="409"/>
        </w:trPr>
        <w:tc>
          <w:tcPr>
            <w:tcW w:w="1856" w:type="dxa"/>
            <w:gridSpan w:val="4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查处案件（起）</w:t>
            </w:r>
          </w:p>
        </w:tc>
        <w:tc>
          <w:tcPr>
            <w:tcW w:w="1893" w:type="dxa"/>
            <w:gridSpan w:val="4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行政处罚（人）</w:t>
            </w:r>
          </w:p>
        </w:tc>
        <w:tc>
          <w:tcPr>
            <w:tcW w:w="1914" w:type="dxa"/>
            <w:gridSpan w:val="6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罚款合计（元）</w:t>
            </w:r>
          </w:p>
        </w:tc>
        <w:tc>
          <w:tcPr>
            <w:tcW w:w="1626" w:type="dxa"/>
            <w:gridSpan w:val="5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结群众举报线索（条）</w:t>
            </w:r>
          </w:p>
        </w:tc>
        <w:tc>
          <w:tcPr>
            <w:tcW w:w="2031" w:type="dxa"/>
            <w:gridSpan w:val="2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根据举报破案</w:t>
            </w:r>
          </w:p>
          <w:p w:rsidR="00626637" w:rsidRPr="00D3605D" w:rsidRDefault="00626637" w:rsidP="002D458F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（起）</w:t>
            </w:r>
          </w:p>
        </w:tc>
      </w:tr>
      <w:tr w:rsidR="00626637" w:rsidTr="002D458F">
        <w:trPr>
          <w:trHeight w:val="719"/>
        </w:trPr>
        <w:tc>
          <w:tcPr>
            <w:tcW w:w="1856" w:type="dxa"/>
            <w:gridSpan w:val="4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93" w:type="dxa"/>
            <w:gridSpan w:val="4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914" w:type="dxa"/>
            <w:gridSpan w:val="6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6" w:type="dxa"/>
            <w:gridSpan w:val="5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31" w:type="dxa"/>
            <w:gridSpan w:val="2"/>
          </w:tcPr>
          <w:p w:rsidR="00626637" w:rsidRPr="00D3605D" w:rsidRDefault="00626637" w:rsidP="002D458F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626637" w:rsidTr="002D458F">
        <w:trPr>
          <w:trHeight w:val="475"/>
        </w:trPr>
        <w:tc>
          <w:tcPr>
            <w:tcW w:w="7663" w:type="dxa"/>
            <w:gridSpan w:val="20"/>
            <w:vAlign w:val="center"/>
          </w:tcPr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收缴财物情况</w:t>
            </w:r>
          </w:p>
        </w:tc>
        <w:tc>
          <w:tcPr>
            <w:tcW w:w="1657" w:type="dxa"/>
            <w:vMerge w:val="restart"/>
            <w:vAlign w:val="center"/>
          </w:tcPr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涉案价值</w:t>
            </w:r>
          </w:p>
          <w:p w:rsidR="00626637" w:rsidRDefault="00626637" w:rsidP="002D458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（元）</w:t>
            </w:r>
          </w:p>
        </w:tc>
      </w:tr>
      <w:tr w:rsidR="00626637" w:rsidTr="002D458F">
        <w:trPr>
          <w:trHeight w:val="368"/>
        </w:trPr>
        <w:tc>
          <w:tcPr>
            <w:tcW w:w="2225" w:type="dxa"/>
            <w:gridSpan w:val="5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野生动物（头只）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野生动物皮张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（张）</w:t>
            </w:r>
          </w:p>
        </w:tc>
        <w:tc>
          <w:tcPr>
            <w:tcW w:w="2264" w:type="dxa"/>
            <w:gridSpan w:val="5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野生动物制品</w:t>
            </w:r>
          </w:p>
        </w:tc>
        <w:tc>
          <w:tcPr>
            <w:tcW w:w="1357" w:type="dxa"/>
            <w:gridSpan w:val="4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猎具（件）</w:t>
            </w:r>
          </w:p>
        </w:tc>
        <w:tc>
          <w:tcPr>
            <w:tcW w:w="911" w:type="dxa"/>
            <w:gridSpan w:val="4"/>
            <w:vMerge w:val="restart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违法所得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657" w:type="dxa"/>
            <w:vMerge/>
            <w:vAlign w:val="center"/>
          </w:tcPr>
          <w:p w:rsidR="00626637" w:rsidRDefault="00626637" w:rsidP="002D458F">
            <w:pPr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626637" w:rsidTr="002D458F">
        <w:trPr>
          <w:trHeight w:val="596"/>
        </w:trPr>
        <w:tc>
          <w:tcPr>
            <w:tcW w:w="503" w:type="dxa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合计</w:t>
            </w:r>
          </w:p>
        </w:tc>
        <w:tc>
          <w:tcPr>
            <w:tcW w:w="799" w:type="dxa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D3605D">
              <w:rPr>
                <w:rFonts w:ascii="仿宋_GB2312" w:eastAsia="仿宋_GB2312" w:hAnsi="华文中宋" w:hint="eastAsia"/>
                <w:sz w:val="24"/>
              </w:rPr>
              <w:t>国家一级</w:t>
            </w:r>
          </w:p>
        </w:tc>
        <w:tc>
          <w:tcPr>
            <w:tcW w:w="924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国家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二级</w:t>
            </w:r>
          </w:p>
        </w:tc>
        <w:tc>
          <w:tcPr>
            <w:tcW w:w="905" w:type="dxa"/>
            <w:gridSpan w:val="2"/>
            <w:vMerge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数量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（件）</w:t>
            </w:r>
          </w:p>
        </w:tc>
        <w:tc>
          <w:tcPr>
            <w:tcW w:w="1208" w:type="dxa"/>
            <w:gridSpan w:val="2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重量</w:t>
            </w:r>
          </w:p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（千克）</w:t>
            </w:r>
          </w:p>
        </w:tc>
        <w:tc>
          <w:tcPr>
            <w:tcW w:w="603" w:type="dxa"/>
            <w:gridSpan w:val="3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754" w:type="dxa"/>
            <w:vAlign w:val="center"/>
          </w:tcPr>
          <w:p w:rsidR="00626637" w:rsidRPr="00D3605D" w:rsidRDefault="00626637" w:rsidP="002D458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D3605D">
              <w:rPr>
                <w:rFonts w:ascii="仿宋" w:eastAsia="仿宋" w:hAnsi="仿宋" w:hint="eastAsia"/>
                <w:sz w:val="24"/>
              </w:rPr>
              <w:t>其中猎枪</w:t>
            </w:r>
          </w:p>
        </w:tc>
        <w:tc>
          <w:tcPr>
            <w:tcW w:w="911" w:type="dxa"/>
            <w:gridSpan w:val="4"/>
            <w:vMerge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626637" w:rsidRDefault="00626637" w:rsidP="002D458F">
            <w:pPr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626637" w:rsidTr="002D458F">
        <w:trPr>
          <w:trHeight w:val="873"/>
        </w:trPr>
        <w:tc>
          <w:tcPr>
            <w:tcW w:w="503" w:type="dxa"/>
            <w:vAlign w:val="center"/>
          </w:tcPr>
          <w:p w:rsidR="00626637" w:rsidRDefault="00626637" w:rsidP="002D458F">
            <w:pPr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799" w:type="dxa"/>
            <w:vAlign w:val="center"/>
          </w:tcPr>
          <w:p w:rsidR="00626637" w:rsidRDefault="00626637" w:rsidP="002D458F">
            <w:pPr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gridSpan w:val="3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" w:type="dxa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626637" w:rsidRPr="00D3605D" w:rsidRDefault="00626637" w:rsidP="002D45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26637" w:rsidRDefault="00626637" w:rsidP="002D458F">
            <w:pPr>
              <w:jc w:val="center"/>
              <w:rPr>
                <w:rFonts w:ascii="仿宋_GB2312" w:hAnsi="华文中宋"/>
                <w:sz w:val="24"/>
              </w:rPr>
            </w:pPr>
          </w:p>
        </w:tc>
      </w:tr>
    </w:tbl>
    <w:p w:rsidR="00626637" w:rsidRDefault="00626637" w:rsidP="00626637">
      <w:r>
        <w:rPr>
          <w:rFonts w:ascii="华文中宋" w:eastAsia="华文中宋" w:hAnsi="华文中宋" w:hint="eastAsia"/>
          <w:sz w:val="28"/>
          <w:szCs w:val="28"/>
        </w:rPr>
        <w:t>填报人：                      审核人：</w:t>
      </w:r>
    </w:p>
    <w:p w:rsidR="00626637" w:rsidRPr="007E7724" w:rsidRDefault="007E7724" w:rsidP="00626637">
      <w:pPr>
        <w:tabs>
          <w:tab w:val="left" w:pos="948"/>
        </w:tabs>
        <w:rPr>
          <w:color w:val="FF0000"/>
        </w:rPr>
      </w:pPr>
      <w:r w:rsidRPr="007E7724">
        <w:rPr>
          <w:rFonts w:hint="eastAsia"/>
          <w:color w:val="FF0000"/>
        </w:rPr>
        <w:t>注</w:t>
      </w:r>
      <w:r w:rsidRPr="007E7724">
        <w:rPr>
          <w:color w:val="FF0000"/>
        </w:rPr>
        <w:t>：</w:t>
      </w:r>
      <w:r w:rsidRPr="007E7724">
        <w:rPr>
          <w:rFonts w:hint="eastAsia"/>
          <w:color w:val="FF0000"/>
        </w:rPr>
        <w:t>数据</w:t>
      </w:r>
      <w:r w:rsidRPr="007E7724">
        <w:rPr>
          <w:color w:val="FF0000"/>
        </w:rPr>
        <w:t>统</w:t>
      </w:r>
      <w:r w:rsidRPr="007E7724">
        <w:rPr>
          <w:rFonts w:hint="eastAsia"/>
          <w:color w:val="FF0000"/>
        </w:rPr>
        <w:t>计</w:t>
      </w:r>
      <w:r w:rsidRPr="007E7724">
        <w:rPr>
          <w:color w:val="FF0000"/>
        </w:rPr>
        <w:t>是累计填写</w:t>
      </w: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Default="00626637" w:rsidP="00626637">
      <w:pPr>
        <w:tabs>
          <w:tab w:val="left" w:pos="948"/>
        </w:tabs>
      </w:pPr>
    </w:p>
    <w:p w:rsidR="00626637" w:rsidRPr="00D21601" w:rsidRDefault="00626637" w:rsidP="00626637">
      <w:pPr>
        <w:tabs>
          <w:tab w:val="left" w:pos="948"/>
        </w:tabs>
      </w:pPr>
    </w:p>
    <w:tbl>
      <w:tblPr>
        <w:tblpPr w:leftFromText="180" w:rightFromText="180" w:vertAnchor="text" w:horzAnchor="margin" w:tblpY="6929"/>
        <w:tblOverlap w:val="never"/>
        <w:tblW w:w="8730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626637" w:rsidRPr="00C90518" w:rsidTr="002D458F">
        <w:trPr>
          <w:trHeight w:val="555"/>
        </w:trPr>
        <w:tc>
          <w:tcPr>
            <w:tcW w:w="8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6637" w:rsidRPr="00C90518" w:rsidRDefault="007E7724" w:rsidP="007E7724">
            <w:pPr>
              <w:ind w:firstLineChars="50" w:firstLine="140"/>
              <w:rPr>
                <w:rFonts w:ascii="仿宋_GB2312" w:hAnsi="华文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承德</w:t>
            </w:r>
            <w:r>
              <w:rPr>
                <w:rFonts w:ascii="仿宋" w:eastAsia="仿宋" w:hAnsi="仿宋"/>
                <w:sz w:val="28"/>
                <w:szCs w:val="32"/>
              </w:rPr>
              <w:t>市</w:t>
            </w:r>
            <w:r w:rsidR="00626637" w:rsidRPr="00C90518">
              <w:rPr>
                <w:rFonts w:ascii="仿宋" w:eastAsia="仿宋" w:hAnsi="仿宋" w:hint="eastAsia"/>
                <w:sz w:val="28"/>
                <w:szCs w:val="32"/>
              </w:rPr>
              <w:t>林业</w:t>
            </w:r>
            <w:r w:rsidR="00626637">
              <w:rPr>
                <w:rFonts w:ascii="仿宋" w:eastAsia="仿宋" w:hAnsi="仿宋" w:hint="eastAsia"/>
                <w:sz w:val="28"/>
                <w:szCs w:val="32"/>
              </w:rPr>
              <w:t>和草原局</w:t>
            </w:r>
            <w:r w:rsidR="00626637" w:rsidRPr="00C90518">
              <w:rPr>
                <w:rFonts w:ascii="仿宋" w:eastAsia="仿宋" w:hAnsi="仿宋" w:hint="eastAsia"/>
                <w:sz w:val="28"/>
                <w:szCs w:val="32"/>
              </w:rPr>
              <w:t>办公室</w:t>
            </w:r>
            <w:r w:rsidR="00626637">
              <w:rPr>
                <w:rFonts w:ascii="仿宋_GB2312" w:hAnsi="华文仿宋"/>
                <w:sz w:val="28"/>
                <w:szCs w:val="32"/>
              </w:rPr>
              <w:t xml:space="preserve">             </w:t>
            </w:r>
            <w:r w:rsidR="00626637" w:rsidRPr="00C90518">
              <w:rPr>
                <w:rFonts w:ascii="仿宋_GB2312" w:hAnsi="华文仿宋"/>
                <w:sz w:val="28"/>
                <w:szCs w:val="32"/>
              </w:rPr>
              <w:t xml:space="preserve"> </w:t>
            </w:r>
            <w:r w:rsidR="00626637" w:rsidRPr="00C90518">
              <w:rPr>
                <w:rFonts w:ascii="仿宋" w:eastAsia="仿宋" w:hAnsi="仿宋"/>
                <w:sz w:val="28"/>
                <w:szCs w:val="32"/>
              </w:rPr>
              <w:t>201</w:t>
            </w:r>
            <w:r w:rsidR="00626637">
              <w:rPr>
                <w:rFonts w:ascii="仿宋" w:eastAsia="仿宋" w:hAnsi="仿宋" w:hint="eastAsia"/>
                <w:sz w:val="28"/>
                <w:szCs w:val="32"/>
              </w:rPr>
              <w:t>9</w:t>
            </w:r>
            <w:r w:rsidR="00626637" w:rsidRPr="00C90518"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 w:rsidR="00626637">
              <w:rPr>
                <w:rFonts w:ascii="仿宋" w:eastAsia="仿宋" w:hAnsi="仿宋" w:hint="eastAsia"/>
                <w:sz w:val="28"/>
                <w:szCs w:val="32"/>
              </w:rPr>
              <w:t>3</w:t>
            </w:r>
            <w:r w:rsidR="00626637" w:rsidRPr="00C90518">
              <w:rPr>
                <w:rFonts w:ascii="仿宋" w:eastAsia="仿宋" w:hAnsi="仿宋" w:hint="eastAsia"/>
                <w:sz w:val="28"/>
                <w:szCs w:val="32"/>
              </w:rPr>
              <w:t xml:space="preserve"> 月</w:t>
            </w:r>
            <w:r>
              <w:rPr>
                <w:rFonts w:ascii="仿宋" w:eastAsia="仿宋" w:hAnsi="仿宋"/>
                <w:sz w:val="28"/>
                <w:szCs w:val="32"/>
              </w:rPr>
              <w:t>8</w:t>
            </w:r>
            <w:r w:rsidR="00626637" w:rsidRPr="00C90518">
              <w:rPr>
                <w:rFonts w:ascii="仿宋" w:eastAsia="仿宋" w:hAnsi="仿宋" w:hint="eastAsia"/>
                <w:sz w:val="28"/>
                <w:szCs w:val="32"/>
              </w:rPr>
              <w:t>日印发</w:t>
            </w:r>
          </w:p>
        </w:tc>
      </w:tr>
    </w:tbl>
    <w:p w:rsidR="00626637" w:rsidRPr="000A218C" w:rsidRDefault="00626637" w:rsidP="00626637">
      <w:pPr>
        <w:jc w:val="center"/>
        <w:rPr>
          <w:rFonts w:ascii="仿宋" w:eastAsia="仿宋" w:hAnsi="仿宋"/>
          <w:sz w:val="30"/>
          <w:szCs w:val="30"/>
        </w:rPr>
      </w:pPr>
    </w:p>
    <w:p w:rsidR="00626637" w:rsidRPr="00134068" w:rsidRDefault="00626637" w:rsidP="00626637"/>
    <w:p w:rsidR="00091067" w:rsidRPr="00626637" w:rsidRDefault="00091067" w:rsidP="00626637">
      <w:pPr>
        <w:pStyle w:val="a5"/>
        <w:spacing w:line="540" w:lineRule="exact"/>
        <w:ind w:firstLineChars="225" w:firstLine="473"/>
      </w:pPr>
    </w:p>
    <w:sectPr w:rsidR="00091067" w:rsidRPr="00626637" w:rsidSect="00626637">
      <w:footerReference w:type="even" r:id="rId10"/>
      <w:footerReference w:type="default" r:id="rId11"/>
      <w:pgSz w:w="11907" w:h="16840"/>
      <w:pgMar w:top="1871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0F" w:rsidRDefault="00600F0F">
      <w:r>
        <w:separator/>
      </w:r>
    </w:p>
  </w:endnote>
  <w:endnote w:type="continuationSeparator" w:id="0">
    <w:p w:rsidR="00600F0F" w:rsidRDefault="0060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Albertus">
    <w:altName w:val="Candara"/>
    <w:charset w:val="00"/>
    <w:family w:val="auto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37" w:rsidRPr="00D3605D" w:rsidRDefault="00626637">
    <w:pPr>
      <w:pStyle w:val="a7"/>
      <w:rPr>
        <w:rFonts w:ascii="仿宋" w:eastAsia="仿宋" w:hAnsi="仿宋"/>
        <w:sz w:val="32"/>
        <w:szCs w:val="32"/>
      </w:rPr>
    </w:pPr>
    <w:r w:rsidRPr="00D3605D">
      <w:rPr>
        <w:rFonts w:ascii="仿宋" w:eastAsia="仿宋" w:hAnsi="仿宋" w:hint="eastAsia"/>
        <w:sz w:val="32"/>
        <w:szCs w:val="32"/>
      </w:rPr>
      <w:fldChar w:fldCharType="begin"/>
    </w:r>
    <w:r w:rsidRPr="00D3605D">
      <w:rPr>
        <w:rFonts w:ascii="仿宋" w:eastAsia="仿宋" w:hAnsi="仿宋" w:hint="eastAsia"/>
        <w:sz w:val="32"/>
        <w:szCs w:val="32"/>
      </w:rPr>
      <w:instrText xml:space="preserve"> PAGE   \* MERGEFORMAT </w:instrText>
    </w:r>
    <w:r w:rsidRPr="00D3605D">
      <w:rPr>
        <w:rFonts w:ascii="仿宋" w:eastAsia="仿宋" w:hAnsi="仿宋" w:hint="eastAsia"/>
        <w:sz w:val="32"/>
        <w:szCs w:val="32"/>
      </w:rPr>
      <w:fldChar w:fldCharType="separate"/>
    </w:r>
    <w:r w:rsidRPr="00A0584D">
      <w:rPr>
        <w:rFonts w:ascii="仿宋" w:eastAsia="仿宋" w:hAnsi="仿宋"/>
        <w:noProof/>
        <w:sz w:val="32"/>
        <w:szCs w:val="32"/>
        <w:lang w:val="zh-CN"/>
      </w:rPr>
      <w:t>-</w:t>
    </w:r>
    <w:r>
      <w:rPr>
        <w:rFonts w:ascii="仿宋" w:eastAsia="仿宋" w:hAnsi="仿宋"/>
        <w:noProof/>
        <w:sz w:val="32"/>
        <w:szCs w:val="32"/>
      </w:rPr>
      <w:t xml:space="preserve"> 8 -</w:t>
    </w:r>
    <w:r w:rsidRPr="00D3605D">
      <w:rPr>
        <w:rFonts w:ascii="仿宋" w:eastAsia="仿宋" w:hAnsi="仿宋" w:hint="eastAsia"/>
        <w:sz w:val="32"/>
        <w:szCs w:val="32"/>
      </w:rPr>
      <w:fldChar w:fldCharType="end"/>
    </w:r>
  </w:p>
  <w:p w:rsidR="00626637" w:rsidRDefault="00626637" w:rsidP="00D360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37" w:rsidRPr="00D21601" w:rsidRDefault="00626637">
    <w:pPr>
      <w:pStyle w:val="a7"/>
      <w:jc w:val="right"/>
      <w:rPr>
        <w:rFonts w:ascii="仿宋" w:eastAsia="仿宋" w:hAnsi="仿宋"/>
        <w:sz w:val="32"/>
        <w:szCs w:val="32"/>
      </w:rPr>
    </w:pPr>
    <w:r w:rsidRPr="00D21601">
      <w:rPr>
        <w:rFonts w:ascii="仿宋" w:eastAsia="仿宋" w:hAnsi="仿宋"/>
        <w:sz w:val="32"/>
        <w:szCs w:val="32"/>
      </w:rPr>
      <w:fldChar w:fldCharType="begin"/>
    </w:r>
    <w:r w:rsidRPr="00D21601">
      <w:rPr>
        <w:rFonts w:ascii="仿宋" w:eastAsia="仿宋" w:hAnsi="仿宋"/>
        <w:sz w:val="32"/>
        <w:szCs w:val="32"/>
      </w:rPr>
      <w:instrText xml:space="preserve"> PAGE   \* MERGEFORMAT </w:instrText>
    </w:r>
    <w:r w:rsidRPr="00D21601">
      <w:rPr>
        <w:rFonts w:ascii="仿宋" w:eastAsia="仿宋" w:hAnsi="仿宋"/>
        <w:sz w:val="32"/>
        <w:szCs w:val="32"/>
      </w:rPr>
      <w:fldChar w:fldCharType="separate"/>
    </w:r>
    <w:r w:rsidR="00AD1FA5" w:rsidRPr="00AD1FA5">
      <w:rPr>
        <w:rFonts w:ascii="仿宋" w:eastAsia="仿宋" w:hAnsi="仿宋"/>
        <w:noProof/>
        <w:sz w:val="32"/>
        <w:szCs w:val="32"/>
        <w:lang w:val="zh-CN"/>
      </w:rPr>
      <w:t>-</w:t>
    </w:r>
    <w:r w:rsidR="00AD1FA5">
      <w:rPr>
        <w:rFonts w:ascii="仿宋" w:eastAsia="仿宋" w:hAnsi="仿宋"/>
        <w:noProof/>
        <w:sz w:val="32"/>
        <w:szCs w:val="32"/>
      </w:rPr>
      <w:t xml:space="preserve"> 6 -</w:t>
    </w:r>
    <w:r w:rsidRPr="00D21601">
      <w:rPr>
        <w:rFonts w:ascii="仿宋" w:eastAsia="仿宋" w:hAnsi="仿宋"/>
        <w:sz w:val="32"/>
        <w:szCs w:val="32"/>
      </w:rPr>
      <w:fldChar w:fldCharType="end"/>
    </w:r>
  </w:p>
  <w:p w:rsidR="00626637" w:rsidRDefault="00626637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67" w:rsidRDefault="00FB7731">
    <w:pPr>
      <w:pStyle w:val="a7"/>
      <w:ind w:right="360"/>
      <w:rPr>
        <w:rFonts w:ascii="仿宋" w:eastAsia="仿宋" w:hAnsi="仿宋"/>
        <w:kern w:val="0"/>
        <w:sz w:val="32"/>
        <w:szCs w:val="32"/>
      </w:rPr>
    </w:pPr>
    <w:r>
      <w:rPr>
        <w:rFonts w:ascii="仿宋" w:eastAsia="仿宋" w:hAnsi="仿宋" w:hint="eastAsia"/>
        <w:kern w:val="0"/>
        <w:sz w:val="32"/>
        <w:szCs w:val="32"/>
      </w:rPr>
      <w:t xml:space="preserve">- </w:t>
    </w:r>
    <w:r>
      <w:rPr>
        <w:rFonts w:ascii="仿宋" w:eastAsia="仿宋" w:hAnsi="仿宋" w:hint="eastAsia"/>
        <w:kern w:val="0"/>
        <w:sz w:val="32"/>
        <w:szCs w:val="32"/>
      </w:rPr>
      <w:fldChar w:fldCharType="begin"/>
    </w:r>
    <w:r>
      <w:rPr>
        <w:rFonts w:ascii="仿宋" w:eastAsia="仿宋" w:hAnsi="仿宋" w:hint="eastAsia"/>
        <w:kern w:val="0"/>
        <w:sz w:val="32"/>
        <w:szCs w:val="32"/>
      </w:rPr>
      <w:instrText xml:space="preserve"> PAGE </w:instrText>
    </w:r>
    <w:r>
      <w:rPr>
        <w:rFonts w:ascii="仿宋" w:eastAsia="仿宋" w:hAnsi="仿宋" w:hint="eastAsia"/>
        <w:kern w:val="0"/>
        <w:sz w:val="32"/>
        <w:szCs w:val="32"/>
      </w:rPr>
      <w:fldChar w:fldCharType="separate"/>
    </w:r>
    <w:r>
      <w:rPr>
        <w:rFonts w:ascii="仿宋" w:eastAsia="仿宋" w:hAnsi="仿宋"/>
        <w:kern w:val="0"/>
        <w:sz w:val="32"/>
        <w:szCs w:val="32"/>
      </w:rPr>
      <w:t>6</w:t>
    </w:r>
    <w:r>
      <w:rPr>
        <w:rFonts w:ascii="仿宋" w:eastAsia="仿宋" w:hAnsi="仿宋" w:hint="eastAsia"/>
        <w:kern w:val="0"/>
        <w:sz w:val="32"/>
        <w:szCs w:val="32"/>
      </w:rPr>
      <w:fldChar w:fldCharType="end"/>
    </w:r>
    <w:r>
      <w:rPr>
        <w:rFonts w:ascii="仿宋" w:eastAsia="仿宋" w:hAnsi="仿宋" w:hint="eastAsia"/>
        <w:kern w:val="0"/>
        <w:sz w:val="32"/>
        <w:szCs w:val="32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67" w:rsidRDefault="00600F0F">
    <w:pPr>
      <w:pStyle w:val="a7"/>
      <w:ind w:right="360" w:firstLine="360"/>
      <w:jc w:val="center"/>
      <w:rPr>
        <w:rFonts w:ascii="方正仿宋" w:eastAsia="方正仿宋" w:hAnsi="Albertus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91067" w:rsidRDefault="00FB7731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D1FA5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_x0000_s2050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91067" w:rsidRDefault="00091067">
                <w:pPr>
                  <w:pStyle w:val="a7"/>
                  <w:ind w:right="360" w:firstLine="360"/>
                  <w:jc w:val="cen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0F" w:rsidRDefault="00600F0F">
      <w:r>
        <w:separator/>
      </w:r>
    </w:p>
  </w:footnote>
  <w:footnote w:type="continuationSeparator" w:id="0">
    <w:p w:rsidR="00600F0F" w:rsidRDefault="0060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37" w:rsidRDefault="0062663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3347"/>
    <w:rsid w:val="000039A7"/>
    <w:rsid w:val="00066786"/>
    <w:rsid w:val="000717A1"/>
    <w:rsid w:val="00091067"/>
    <w:rsid w:val="001948AF"/>
    <w:rsid w:val="001A2D42"/>
    <w:rsid w:val="002C7987"/>
    <w:rsid w:val="002E6A9F"/>
    <w:rsid w:val="00322817"/>
    <w:rsid w:val="0032294F"/>
    <w:rsid w:val="00367EB0"/>
    <w:rsid w:val="003E0F05"/>
    <w:rsid w:val="004F5C14"/>
    <w:rsid w:val="00523D60"/>
    <w:rsid w:val="005A11CF"/>
    <w:rsid w:val="005E70D6"/>
    <w:rsid w:val="00600F0F"/>
    <w:rsid w:val="00626637"/>
    <w:rsid w:val="00643B85"/>
    <w:rsid w:val="0066342F"/>
    <w:rsid w:val="007D3362"/>
    <w:rsid w:val="007E7724"/>
    <w:rsid w:val="008303DF"/>
    <w:rsid w:val="0089078D"/>
    <w:rsid w:val="008A1E9B"/>
    <w:rsid w:val="00905203"/>
    <w:rsid w:val="00933347"/>
    <w:rsid w:val="00954358"/>
    <w:rsid w:val="00972396"/>
    <w:rsid w:val="009F13A2"/>
    <w:rsid w:val="009F39CC"/>
    <w:rsid w:val="009F5A98"/>
    <w:rsid w:val="00A51AD9"/>
    <w:rsid w:val="00AB0869"/>
    <w:rsid w:val="00AD1FA5"/>
    <w:rsid w:val="00AE43A2"/>
    <w:rsid w:val="00BC059B"/>
    <w:rsid w:val="00CA0955"/>
    <w:rsid w:val="00CD4F4D"/>
    <w:rsid w:val="00D10B0E"/>
    <w:rsid w:val="00D41C0C"/>
    <w:rsid w:val="00D670E0"/>
    <w:rsid w:val="00E74A82"/>
    <w:rsid w:val="00F847B3"/>
    <w:rsid w:val="00FB7731"/>
    <w:rsid w:val="03775807"/>
    <w:rsid w:val="081F06ED"/>
    <w:rsid w:val="088B5FA5"/>
    <w:rsid w:val="11977072"/>
    <w:rsid w:val="12697A8A"/>
    <w:rsid w:val="13A44740"/>
    <w:rsid w:val="27B36505"/>
    <w:rsid w:val="2D876425"/>
    <w:rsid w:val="42DF4B9E"/>
    <w:rsid w:val="467C40F4"/>
    <w:rsid w:val="587B56E6"/>
    <w:rsid w:val="6E66665E"/>
    <w:rsid w:val="71F63730"/>
    <w:rsid w:val="77F832C8"/>
    <w:rsid w:val="7E2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3B4AF79"/>
  <w15:docId w15:val="{57DB5384-4AB0-43A9-80B9-8FFEF44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Plain Text"/>
    <w:basedOn w:val="a"/>
    <w:link w:val="a6"/>
    <w:rPr>
      <w:rFonts w:ascii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c">
    <w:name w:val="page number"/>
    <w:basedOn w:val="a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rPr>
      <w:rFonts w:ascii="宋体" w:eastAsia="宋体" w:hAnsi="Courier New" w:cs="Courier New"/>
      <w:szCs w:val="21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AD1FA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1F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 textRotate="1"/>
    <customShpInfo spid="_x0000_s3077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8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</dc:creator>
  <cp:lastModifiedBy>NTKO</cp:lastModifiedBy>
  <cp:revision>170</cp:revision>
  <cp:lastPrinted>2019-03-08T19:15:00Z</cp:lastPrinted>
  <dcterms:created xsi:type="dcterms:W3CDTF">2019-01-30T01:47:00Z</dcterms:created>
  <dcterms:modified xsi:type="dcterms:W3CDTF">2019-03-08T19:19:00Z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